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B7B" w:rsidRPr="00B66B7B" w:rsidRDefault="00B66B7B" w:rsidP="00B66B7B">
      <w:pPr>
        <w:pStyle w:val="Title"/>
      </w:pPr>
      <w:r w:rsidRPr="00B66B7B">
        <w:t>Personal Statement about Human Sexuality</w:t>
      </w:r>
    </w:p>
    <w:p w:rsidR="00B66B7B" w:rsidRPr="00B66B7B" w:rsidRDefault="00B66B7B" w:rsidP="00B66B7B">
      <w:pPr>
        <w:pStyle w:val="Heading1"/>
        <w:spacing w:after="240"/>
        <w:jc w:val="right"/>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68.75pt;height:76.5pt" fillcolor="#1f497d [3215]">
            <v:shadow color="#868686"/>
            <v:textpath style="font-family:&quot;Arial Black&quot;;v-text-kern:t" trim="t" fitpath="t" string="SEX !!!"/>
          </v:shape>
        </w:pict>
      </w:r>
      <w:r>
        <w:t xml:space="preserve">                                              </w:t>
      </w:r>
      <w:r w:rsidRPr="00B66B7B">
        <w:t>By Rev. Michael W. Topham</w:t>
      </w:r>
    </w:p>
    <w:p w:rsidR="00B66B7B" w:rsidRPr="00B66B7B" w:rsidRDefault="00B66B7B" w:rsidP="00B66B7B">
      <w:pPr>
        <w:spacing w:after="120" w:line="240" w:lineRule="auto"/>
        <w:ind w:firstLine="720"/>
        <w:rPr>
          <w:sz w:val="24"/>
          <w:szCs w:val="24"/>
        </w:rPr>
      </w:pPr>
      <w:r w:rsidRPr="00B66B7B">
        <w:rPr>
          <w:sz w:val="24"/>
          <w:szCs w:val="24"/>
        </w:rPr>
        <w:t>Just to see or hear the word makes us cringe with embarrassment. Maybe we are embarrassed because Adam and Eve were ashamed of their nakedness after they sinned against God.  Who knows?  We should realize that approximately half of the world’s population is male and the other half is female. Half of us in the world have the same anatomy, and the other half in the world has the same anatomy. There are only two different anatomies. Sex is like a double edge sword. On the one hand it is a miracle from God, and on the other hand it can destroy lives. Our sexuality is also something we see and hear about in the paper, on television, on the radio, on the internet and in our everyday conversations. As often as we hear a reference to human sexuality, we seldom talk about it seriously. We read in the Bible that our sexuality is a gift from God. Yet, like so many of God’s gifts, we abuse our sexuality.</w:t>
      </w:r>
    </w:p>
    <w:p w:rsidR="00B66B7B" w:rsidRPr="00B66B7B" w:rsidRDefault="00B66B7B" w:rsidP="00B66B7B">
      <w:pPr>
        <w:spacing w:after="120" w:line="240" w:lineRule="auto"/>
        <w:ind w:firstLine="720"/>
        <w:rPr>
          <w:sz w:val="24"/>
          <w:szCs w:val="24"/>
        </w:rPr>
      </w:pPr>
      <w:r w:rsidRPr="00B66B7B">
        <w:rPr>
          <w:sz w:val="24"/>
          <w:szCs w:val="24"/>
        </w:rPr>
        <w:t xml:space="preserve">We learn about sex from the media and our friends.  </w:t>
      </w:r>
      <w:r w:rsidRPr="00B66B7B">
        <w:rPr>
          <w:sz w:val="24"/>
          <w:szCs w:val="24"/>
          <w:u w:val="single"/>
        </w:rPr>
        <w:t>Seldom do we learn about sex from our parents or family</w:t>
      </w:r>
      <w:r w:rsidRPr="00B66B7B">
        <w:rPr>
          <w:sz w:val="24"/>
          <w:szCs w:val="24"/>
        </w:rPr>
        <w:t>. We often don’t even discuss human sexuality with our spouse. The first time I learned about sex was when I heard my neighbor friends talking about it when I was in the second grade, the classes’ know-it-all was telling us the truth, but we thought he was crazy.  I then read my mother’s nursing training books when I was in the fifth grade to learn really where babies come from. We should be hearing and leaning about sex from our families, our spouse, and the church – the three sources that are often on the bottom of the list of where we receive our information on this subject. I can also remember some poor</w:t>
      </w:r>
      <w:r>
        <w:rPr>
          <w:sz w:val="24"/>
          <w:szCs w:val="24"/>
        </w:rPr>
        <w:t>ly</w:t>
      </w:r>
      <w:r w:rsidRPr="00B66B7B">
        <w:rPr>
          <w:sz w:val="24"/>
          <w:szCs w:val="24"/>
        </w:rPr>
        <w:t xml:space="preserve"> given sex education classes given me at my church when I was in the seventh grade and they made no sense to me at all since everything was given in </w:t>
      </w:r>
      <w:r>
        <w:rPr>
          <w:sz w:val="24"/>
          <w:szCs w:val="24"/>
        </w:rPr>
        <w:t>“</w:t>
      </w:r>
      <w:r w:rsidRPr="00B66B7B">
        <w:rPr>
          <w:sz w:val="24"/>
          <w:szCs w:val="24"/>
        </w:rPr>
        <w:t>Hidden meanings</w:t>
      </w:r>
      <w:r>
        <w:rPr>
          <w:sz w:val="24"/>
          <w:szCs w:val="24"/>
        </w:rPr>
        <w:t>”</w:t>
      </w:r>
      <w:r w:rsidRPr="00B66B7B">
        <w:rPr>
          <w:sz w:val="24"/>
          <w:szCs w:val="24"/>
        </w:rPr>
        <w:t>.</w:t>
      </w:r>
      <w:r>
        <w:rPr>
          <w:sz w:val="24"/>
          <w:szCs w:val="24"/>
        </w:rPr>
        <w:t xml:space="preserve">  My wife tells me she knew nothing about sex until we started dating, her parents never talked to her about this subject.</w:t>
      </w:r>
      <w:r w:rsidRPr="00B66B7B">
        <w:rPr>
          <w:sz w:val="24"/>
          <w:szCs w:val="24"/>
        </w:rPr>
        <w:t xml:space="preserve">  You might think your child receives Sex education in school, but this is generally not given much priority.  The Teenage pregnancy rate of this county and town proves there is a drastic need for education.</w:t>
      </w:r>
    </w:p>
    <w:p w:rsidR="00B66B7B" w:rsidRPr="00B66B7B" w:rsidRDefault="00B66B7B" w:rsidP="00B66B7B">
      <w:pPr>
        <w:spacing w:after="120" w:line="240" w:lineRule="auto"/>
        <w:ind w:firstLine="720"/>
        <w:rPr>
          <w:sz w:val="24"/>
          <w:szCs w:val="24"/>
        </w:rPr>
      </w:pPr>
      <w:r w:rsidRPr="00B66B7B">
        <w:rPr>
          <w:sz w:val="24"/>
          <w:szCs w:val="24"/>
        </w:rPr>
        <w:t>Constantly we hear conflicting reports about human sexuality. The media and friends send us the message of “DO IT!”  Sex is so easy. There is nothing to it.</w:t>
      </w:r>
      <w:r>
        <w:rPr>
          <w:sz w:val="24"/>
          <w:szCs w:val="24"/>
        </w:rPr>
        <w:t xml:space="preserve">  Your children are now going on the internet and myspace and YouTube and viewing and get a lot of misinformation. It has been estimated that only 13% of all information available on the internet about this subject is correct and truthful. </w:t>
      </w:r>
      <w:r w:rsidRPr="00B66B7B">
        <w:rPr>
          <w:sz w:val="24"/>
          <w:szCs w:val="24"/>
        </w:rPr>
        <w:t xml:space="preserve"> On the one hand, parents and the church is often saying, “Don’t Do It!” Sex is dirty and evil. We need to hear more about commitment. We need to realize that sex involves two people.  It is not </w:t>
      </w:r>
      <w:r w:rsidRPr="00B66B7B">
        <w:rPr>
          <w:sz w:val="24"/>
          <w:szCs w:val="24"/>
        </w:rPr>
        <w:lastRenderedPageBreak/>
        <w:t>a pleasure to be gained at someone else’s expense. Often when this is the goal there is more pain than pleasure. And it is more about power and control than about Love.  Sexuality is abused within the bonds of marriage as well as outside the bonds of marriage. When we fail to respect each other for who we are and what we want, we fail to see each other as people.</w:t>
      </w:r>
    </w:p>
    <w:p w:rsidR="00B66B7B" w:rsidRPr="00B66B7B" w:rsidRDefault="00B66B7B" w:rsidP="00B66B7B">
      <w:pPr>
        <w:spacing w:after="120" w:line="240" w:lineRule="auto"/>
        <w:ind w:firstLine="720"/>
        <w:rPr>
          <w:sz w:val="24"/>
          <w:szCs w:val="24"/>
        </w:rPr>
      </w:pPr>
      <w:r w:rsidRPr="00B66B7B">
        <w:rPr>
          <w:sz w:val="24"/>
          <w:szCs w:val="24"/>
        </w:rPr>
        <w:t>Statistically, age twenty-six is the best time for a women to get married and age twenty-seven to thirty-one for a man. That is fewer divorces result when people marry at these ages. Three out of five teenage marriages now end in divorce.</w:t>
      </w:r>
      <w:r w:rsidRPr="00B66B7B">
        <w:rPr>
          <w:rStyle w:val="FootnoteReference"/>
          <w:sz w:val="24"/>
          <w:szCs w:val="24"/>
        </w:rPr>
        <w:footnoteReference w:id="1"/>
      </w:r>
      <w:r w:rsidRPr="00B66B7B">
        <w:rPr>
          <w:sz w:val="24"/>
          <w:szCs w:val="24"/>
        </w:rPr>
        <w:t xml:space="preserve">  </w:t>
      </w:r>
    </w:p>
    <w:p w:rsidR="00B66B7B" w:rsidRPr="00B66B7B" w:rsidRDefault="00B66B7B" w:rsidP="00B66B7B">
      <w:pPr>
        <w:spacing w:after="120" w:line="240" w:lineRule="auto"/>
        <w:ind w:firstLine="720"/>
        <w:rPr>
          <w:sz w:val="24"/>
          <w:szCs w:val="24"/>
        </w:rPr>
      </w:pPr>
      <w:r w:rsidRPr="00B66B7B">
        <w:rPr>
          <w:sz w:val="24"/>
          <w:szCs w:val="24"/>
        </w:rPr>
        <w:t xml:space="preserve">People today are getting married out of “Lust” rather than “Love” and many are going into relationships before they are ready and willing to become a partner for life. The Guttmacher Institute </w:t>
      </w:r>
      <w:hyperlink r:id="rId7" w:history="1">
        <w:r w:rsidRPr="00B66B7B">
          <w:rPr>
            <w:rStyle w:val="Hyperlink"/>
            <w:sz w:val="24"/>
            <w:szCs w:val="24"/>
          </w:rPr>
          <w:t>http://www.guttmacher.org</w:t>
        </w:r>
      </w:hyperlink>
      <w:r w:rsidRPr="00B66B7B">
        <w:rPr>
          <w:sz w:val="24"/>
          <w:szCs w:val="24"/>
        </w:rPr>
        <w:t xml:space="preserve"> reports that the United States has the highest levels of teen pregnancy among developed nations. This is hardly surprising, since nearly 75 percent of teenagers have had intercourse by the time they turn 20; only 15 percent report remaining virgins until the age of 21. Additionally, the Institute reports that teens in the US are more likely to have sex before the age of 15, and to have more than one partner in a year, than teenagers in Sweden, France, Canada and the United Kingdom.  </w:t>
      </w:r>
    </w:p>
    <w:p w:rsidR="00B66B7B" w:rsidRPr="00B66B7B" w:rsidRDefault="00B66B7B" w:rsidP="00B66B7B">
      <w:pPr>
        <w:spacing w:after="120" w:line="240" w:lineRule="auto"/>
        <w:ind w:firstLine="720"/>
        <w:rPr>
          <w:sz w:val="24"/>
          <w:szCs w:val="24"/>
        </w:rPr>
      </w:pPr>
      <w:r w:rsidRPr="00B66B7B">
        <w:rPr>
          <w:sz w:val="24"/>
          <w:szCs w:val="24"/>
        </w:rPr>
        <w:t xml:space="preserve">90% of people who have intercourse before marriage do not end up marrying that partner.  </w:t>
      </w:r>
    </w:p>
    <w:p w:rsidR="00B66B7B" w:rsidRPr="00B66B7B" w:rsidRDefault="00B66B7B" w:rsidP="00B66B7B">
      <w:pPr>
        <w:spacing w:after="120" w:line="240" w:lineRule="auto"/>
        <w:ind w:firstLine="720"/>
        <w:rPr>
          <w:rFonts w:cs="Arial"/>
          <w:sz w:val="24"/>
          <w:szCs w:val="24"/>
        </w:rPr>
      </w:pPr>
      <w:r w:rsidRPr="00B66B7B">
        <w:rPr>
          <w:rFonts w:cs="Arial"/>
          <w:sz w:val="24"/>
          <w:szCs w:val="24"/>
        </w:rPr>
        <w:t>About one million or more teenage girls become pregnant every year, at a rate of 3000 per day, 80% of whom are unmarried. Out of this I million, about 500,000, decide to keep their baby, and 450,000 are aborted . 100,000 decide to deliver and give the baby up for adoption. In 1950 the incidence of birth from unmarried teenagers was only 13.9%, but in 1985 it increased to 59%.  And this figure has climbed every year since.</w:t>
      </w:r>
    </w:p>
    <w:p w:rsidR="00B66B7B" w:rsidRPr="00B66B7B" w:rsidRDefault="00B66B7B" w:rsidP="00B66B7B">
      <w:pPr>
        <w:spacing w:after="120" w:line="240" w:lineRule="auto"/>
        <w:ind w:firstLine="720"/>
        <w:rPr>
          <w:rFonts w:cs="Arial"/>
          <w:sz w:val="24"/>
          <w:szCs w:val="24"/>
        </w:rPr>
      </w:pPr>
      <w:r w:rsidRPr="00B66B7B">
        <w:rPr>
          <w:rFonts w:cs="Arial"/>
          <w:sz w:val="24"/>
          <w:szCs w:val="24"/>
        </w:rPr>
        <w:t xml:space="preserve">It is a myth that teenage pregnancy is a problem of the black and poor. To the contrary 2/3 teens getting pregnant now are white, suburban and above the poverty income level. </w:t>
      </w:r>
    </w:p>
    <w:p w:rsidR="00B66B7B" w:rsidRPr="00B66B7B" w:rsidRDefault="00B66B7B" w:rsidP="00B66B7B">
      <w:pPr>
        <w:spacing w:after="120" w:line="240" w:lineRule="auto"/>
        <w:ind w:firstLine="720"/>
        <w:rPr>
          <w:rFonts w:cs="Arial"/>
          <w:sz w:val="24"/>
          <w:szCs w:val="24"/>
        </w:rPr>
      </w:pPr>
      <w:r w:rsidRPr="00B66B7B">
        <w:rPr>
          <w:rFonts w:cs="Arial"/>
          <w:sz w:val="24"/>
          <w:szCs w:val="24"/>
        </w:rPr>
        <w:t xml:space="preserve">What is the life of those who have teenage pregnancy? Only 50% complete high school and more than 50% of them are on welfare. They themselves become child abusers and their children, when grown up, have 82% incidence of teenage pregnancy. 8.6 billion dollars are spent every year for the financial and health care support of teenage mothers. </w:t>
      </w:r>
    </w:p>
    <w:p w:rsidR="00B66B7B" w:rsidRPr="00B66B7B" w:rsidRDefault="00B66B7B" w:rsidP="00B66B7B">
      <w:pPr>
        <w:spacing w:after="120" w:line="240" w:lineRule="auto"/>
        <w:ind w:firstLine="720"/>
        <w:rPr>
          <w:sz w:val="24"/>
          <w:szCs w:val="24"/>
        </w:rPr>
      </w:pPr>
      <w:r w:rsidRPr="00B66B7B">
        <w:rPr>
          <w:rFonts w:cs="Arial"/>
          <w:sz w:val="24"/>
          <w:szCs w:val="24"/>
        </w:rPr>
        <w:t>The sexual revolution of the 60's has affected another dimension of health care. In 1985 alone, 10 million cases of chlamydia, 2 million cases of gonorrhea, I million venereal warts, 0.5 million genital herpes and 90,000 syphilis were diagnosed. The plague of AIDS is adding a new twist to our fears. 200,000 cases have been diagnosed in the US alone, out of which 50% have already died. The disease is growing at a rate of one case every 14 minutes and so far there is no effective treatment. Father Bruce Ritter in New York, who operates shelters for runaway children, says the biggest threat to the nation's 1 million runaways is the threat of AIDS now.</w:t>
      </w:r>
      <w:r w:rsidRPr="00B66B7B">
        <w:rPr>
          <w:rStyle w:val="FootnoteReference"/>
          <w:rFonts w:cs="Arial"/>
          <w:sz w:val="24"/>
          <w:szCs w:val="24"/>
        </w:rPr>
        <w:footnoteReference w:id="2"/>
      </w:r>
    </w:p>
    <w:p w:rsidR="00B76993" w:rsidRPr="00B66B7B" w:rsidRDefault="00B76993"/>
    <w:sectPr w:rsidR="00B76993" w:rsidRPr="00B66B7B" w:rsidSect="00B66B7B">
      <w:headerReference w:type="first" r:id="rId8"/>
      <w:pgSz w:w="12240" w:h="15840"/>
      <w:pgMar w:top="1620" w:right="1152" w:bottom="1152" w:left="1152"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9FC" w:rsidRDefault="008609FC" w:rsidP="00B66B7B">
      <w:pPr>
        <w:spacing w:after="0" w:line="240" w:lineRule="auto"/>
      </w:pPr>
      <w:r>
        <w:separator/>
      </w:r>
    </w:p>
  </w:endnote>
  <w:endnote w:type="continuationSeparator" w:id="0">
    <w:p w:rsidR="008609FC" w:rsidRDefault="008609FC" w:rsidP="00B66B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ligraph421 BT">
    <w:panose1 w:val="03060702050402020204"/>
    <w:charset w:val="00"/>
    <w:family w:val="script"/>
    <w:pitch w:val="variable"/>
    <w:sig w:usb0="800000AF" w:usb1="1000204A" w:usb2="00000000" w:usb3="00000000" w:csb0="0000001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9FC" w:rsidRDefault="008609FC" w:rsidP="00B66B7B">
      <w:pPr>
        <w:spacing w:after="0" w:line="240" w:lineRule="auto"/>
      </w:pPr>
      <w:r>
        <w:separator/>
      </w:r>
    </w:p>
  </w:footnote>
  <w:footnote w:type="continuationSeparator" w:id="0">
    <w:p w:rsidR="008609FC" w:rsidRDefault="008609FC" w:rsidP="00B66B7B">
      <w:pPr>
        <w:spacing w:after="0" w:line="240" w:lineRule="auto"/>
      </w:pPr>
      <w:r>
        <w:continuationSeparator/>
      </w:r>
    </w:p>
  </w:footnote>
  <w:footnote w:id="1">
    <w:p w:rsidR="00B66B7B" w:rsidRDefault="00B66B7B" w:rsidP="00B66B7B">
      <w:pPr>
        <w:pStyle w:val="FootnoteText"/>
      </w:pPr>
      <w:r>
        <w:rPr>
          <w:rStyle w:val="FootnoteReference"/>
        </w:rPr>
        <w:footnoteRef/>
      </w:r>
      <w:r>
        <w:t xml:space="preserve">  Ed Wheat, M.D. and Gaye Wheat , </w:t>
      </w:r>
      <w:r w:rsidRPr="00257AEB">
        <w:rPr>
          <w:i/>
        </w:rPr>
        <w:t>Intended for Pleasure,</w:t>
      </w:r>
      <w:r>
        <w:t xml:space="preserve"> , (Fleming H. Revell Company, Old Tappan, New Jersey, 1977) p 24</w:t>
      </w:r>
    </w:p>
  </w:footnote>
  <w:footnote w:id="2">
    <w:p w:rsidR="00B66B7B" w:rsidRDefault="00B66B7B" w:rsidP="00B66B7B">
      <w:pPr>
        <w:pStyle w:val="FootnoteText"/>
      </w:pPr>
      <w:r>
        <w:rPr>
          <w:rStyle w:val="FootnoteReference"/>
        </w:rPr>
        <w:footnoteRef/>
      </w:r>
      <w:r>
        <w:t xml:space="preserve">  </w:t>
      </w:r>
      <w:hyperlink r:id="rId1" w:history="1">
        <w:r w:rsidRPr="00BD117B">
          <w:rPr>
            <w:rStyle w:val="Hyperlink"/>
          </w:rPr>
          <w:t>http://www.crescentlife.com/articles/education/sex_education.htm</w:t>
        </w:r>
      </w:hyperlink>
    </w:p>
    <w:p w:rsidR="00B66B7B" w:rsidRDefault="00B66B7B" w:rsidP="00B66B7B">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B7B" w:rsidRPr="000818F6" w:rsidRDefault="00B66B7B" w:rsidP="00B66B7B">
    <w:pPr>
      <w:pStyle w:val="Header"/>
      <w:rPr>
        <w:rFonts w:ascii="Calligraph421 BT" w:hAnsi="Calligraph421 BT"/>
      </w:rPr>
    </w:pPr>
    <w:r>
      <w:rPr>
        <w:noProof/>
      </w:rPr>
      <w:drawing>
        <wp:anchor distT="0" distB="0" distL="114300" distR="114300" simplePos="0" relativeHeight="251659264" behindDoc="1" locked="0" layoutInCell="1" allowOverlap="1">
          <wp:simplePos x="0" y="0"/>
          <wp:positionH relativeFrom="column">
            <wp:posOffset>19050</wp:posOffset>
          </wp:positionH>
          <wp:positionV relativeFrom="paragraph">
            <wp:posOffset>-104775</wp:posOffset>
          </wp:positionV>
          <wp:extent cx="1134388" cy="1200150"/>
          <wp:effectExtent l="19050" t="0" r="8612" b="0"/>
          <wp:wrapNone/>
          <wp:docPr id="3" name="Picture 0" descr="Um-log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m-logo3.png"/>
                  <pic:cNvPicPr/>
                </pic:nvPicPr>
                <pic:blipFill>
                  <a:blip r:embed="rId1"/>
                  <a:stretch>
                    <a:fillRect/>
                  </a:stretch>
                </pic:blipFill>
                <pic:spPr>
                  <a:xfrm>
                    <a:off x="0" y="0"/>
                    <a:ext cx="1134388" cy="1200150"/>
                  </a:xfrm>
                  <a:prstGeom prst="rect">
                    <a:avLst/>
                  </a:prstGeom>
                </pic:spPr>
              </pic:pic>
            </a:graphicData>
          </a:graphic>
        </wp:anchor>
      </w:drawing>
    </w:r>
    <w:r>
      <w:ptab w:relativeTo="margin" w:alignment="center" w:leader="none"/>
    </w:r>
    <w:r w:rsidRPr="000818F6">
      <w:rPr>
        <w:rFonts w:ascii="Calligraph421 BT" w:hAnsi="Calligraph421 BT"/>
        <w:b/>
        <w:sz w:val="28"/>
      </w:rPr>
      <w:ptab w:relativeTo="margin" w:alignment="right" w:leader="none"/>
    </w:r>
    <w:r w:rsidRPr="000818F6">
      <w:rPr>
        <w:rFonts w:ascii="Calligraph421 BT" w:hAnsi="Calligraph421 BT"/>
        <w:b/>
        <w:sz w:val="28"/>
      </w:rPr>
      <w:t>First United Methodist Church</w:t>
    </w:r>
  </w:p>
  <w:p w:rsidR="00B66B7B" w:rsidRPr="000818F6" w:rsidRDefault="00B66B7B" w:rsidP="00B66B7B">
    <w:pPr>
      <w:pStyle w:val="Header"/>
      <w:jc w:val="right"/>
      <w:rPr>
        <w:rFonts w:ascii="Calligraph421 BT" w:hAnsi="Calligraph421 BT"/>
      </w:rPr>
    </w:pPr>
    <w:r w:rsidRPr="000818F6">
      <w:rPr>
        <w:rFonts w:ascii="Calligraph421 BT" w:hAnsi="Calligraph421 BT"/>
      </w:rPr>
      <w:t>605 West Erwin Street</w:t>
    </w:r>
  </w:p>
  <w:p w:rsidR="00B66B7B" w:rsidRPr="000818F6" w:rsidRDefault="00B66B7B" w:rsidP="00B66B7B">
    <w:pPr>
      <w:pStyle w:val="Header"/>
      <w:jc w:val="right"/>
      <w:rPr>
        <w:rFonts w:ascii="Calligraph421 BT" w:hAnsi="Calligraph421 BT"/>
      </w:rPr>
    </w:pPr>
    <w:r w:rsidRPr="000818F6">
      <w:rPr>
        <w:rFonts w:ascii="Calligraph421 BT" w:hAnsi="Calligraph421 BT"/>
      </w:rPr>
      <w:t>P.O. Box 498</w:t>
    </w:r>
  </w:p>
  <w:p w:rsidR="00B66B7B" w:rsidRPr="000818F6" w:rsidRDefault="00B66B7B" w:rsidP="00B66B7B">
    <w:pPr>
      <w:pStyle w:val="Header"/>
      <w:jc w:val="right"/>
      <w:rPr>
        <w:rFonts w:ascii="Calligraph421 BT" w:hAnsi="Calligraph421 BT"/>
      </w:rPr>
    </w:pPr>
    <w:r w:rsidRPr="000818F6">
      <w:rPr>
        <w:rFonts w:ascii="Calligraph421 BT" w:hAnsi="Calligraph421 BT"/>
      </w:rPr>
      <w:t>Des Arc, Arkansas 72040</w:t>
    </w:r>
  </w:p>
  <w:p w:rsidR="00B66B7B" w:rsidRDefault="00B66B7B" w:rsidP="00B66B7B">
    <w:pPr>
      <w:pStyle w:val="Header"/>
      <w:jc w:val="right"/>
      <w:rPr>
        <w:rFonts w:ascii="Calligraph421 BT" w:hAnsi="Calligraph421 BT"/>
      </w:rPr>
    </w:pPr>
    <w:r w:rsidRPr="000818F6">
      <w:rPr>
        <w:rFonts w:ascii="Calligraph421 BT" w:hAnsi="Calligraph421 BT"/>
      </w:rPr>
      <w:t>870-256-3757</w:t>
    </w:r>
  </w:p>
  <w:p w:rsidR="00B66B7B" w:rsidRPr="00F4190A" w:rsidRDefault="00B66B7B" w:rsidP="00B66B7B">
    <w:pPr>
      <w:pStyle w:val="Header"/>
      <w:jc w:val="right"/>
      <w:rPr>
        <w:rFonts w:ascii="Calligraph421 BT" w:hAnsi="Calligraph421 BT"/>
      </w:rPr>
    </w:pPr>
    <w:r>
      <w:rPr>
        <w:rFonts w:ascii="Calligraph421 BT" w:hAnsi="Calligraph421 BT"/>
      </w:rPr>
      <w:t>www.DesArcUMC.org</w:t>
    </w:r>
  </w:p>
  <w:p w:rsidR="00B66B7B" w:rsidRDefault="00B66B7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66B7B"/>
    <w:rsid w:val="004712E6"/>
    <w:rsid w:val="006C5641"/>
    <w:rsid w:val="008609FC"/>
    <w:rsid w:val="00B66B7B"/>
    <w:rsid w:val="00B76993"/>
    <w:rsid w:val="00D668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B7B"/>
  </w:style>
  <w:style w:type="paragraph" w:styleId="Heading1">
    <w:name w:val="heading 1"/>
    <w:basedOn w:val="Normal"/>
    <w:next w:val="Normal"/>
    <w:link w:val="Heading1Char"/>
    <w:uiPriority w:val="9"/>
    <w:qFormat/>
    <w:rsid w:val="00B66B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66B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B7B"/>
    <w:rPr>
      <w:sz w:val="20"/>
      <w:szCs w:val="20"/>
    </w:rPr>
  </w:style>
  <w:style w:type="character" w:styleId="FootnoteReference">
    <w:name w:val="footnote reference"/>
    <w:basedOn w:val="DefaultParagraphFont"/>
    <w:uiPriority w:val="99"/>
    <w:semiHidden/>
    <w:unhideWhenUsed/>
    <w:rsid w:val="00B66B7B"/>
    <w:rPr>
      <w:vertAlign w:val="superscript"/>
    </w:rPr>
  </w:style>
  <w:style w:type="character" w:styleId="Hyperlink">
    <w:name w:val="Hyperlink"/>
    <w:basedOn w:val="DefaultParagraphFont"/>
    <w:uiPriority w:val="99"/>
    <w:unhideWhenUsed/>
    <w:rsid w:val="00B66B7B"/>
    <w:rPr>
      <w:color w:val="0000FF" w:themeColor="hyperlink"/>
      <w:u w:val="single"/>
    </w:rPr>
  </w:style>
  <w:style w:type="paragraph" w:styleId="Header">
    <w:name w:val="header"/>
    <w:basedOn w:val="Normal"/>
    <w:link w:val="HeaderChar"/>
    <w:uiPriority w:val="99"/>
    <w:unhideWhenUsed/>
    <w:rsid w:val="00B66B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6B7B"/>
  </w:style>
  <w:style w:type="paragraph" w:styleId="Footer">
    <w:name w:val="footer"/>
    <w:basedOn w:val="Normal"/>
    <w:link w:val="FooterChar"/>
    <w:uiPriority w:val="99"/>
    <w:semiHidden/>
    <w:unhideWhenUsed/>
    <w:rsid w:val="00B66B7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66B7B"/>
  </w:style>
  <w:style w:type="paragraph" w:styleId="BalloonText">
    <w:name w:val="Balloon Text"/>
    <w:basedOn w:val="Normal"/>
    <w:link w:val="BalloonTextChar"/>
    <w:uiPriority w:val="99"/>
    <w:semiHidden/>
    <w:unhideWhenUsed/>
    <w:rsid w:val="00B66B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6B7B"/>
    <w:rPr>
      <w:rFonts w:ascii="Tahoma" w:hAnsi="Tahoma" w:cs="Tahoma"/>
      <w:sz w:val="16"/>
      <w:szCs w:val="16"/>
    </w:rPr>
  </w:style>
  <w:style w:type="character" w:customStyle="1" w:styleId="Heading1Char">
    <w:name w:val="Heading 1 Char"/>
    <w:basedOn w:val="DefaultParagraphFont"/>
    <w:link w:val="Heading1"/>
    <w:uiPriority w:val="9"/>
    <w:rsid w:val="00B66B7B"/>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B66B7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66B7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uttmacher.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crescentlife.com/articles/education/sex_educatio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8A713-FFE9-4707-93CA-8CA8F9E41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878</Words>
  <Characters>5005</Characters>
  <Application>Microsoft Office Word</Application>
  <DocSecurity>0</DocSecurity>
  <Lines>41</Lines>
  <Paragraphs>11</Paragraphs>
  <ScaleCrop>false</ScaleCrop>
  <Company>Des Arc First United Methodist Church</Company>
  <LinksUpToDate>false</LinksUpToDate>
  <CharactersWithSpaces>5872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Topham</dc:creator>
  <cp:lastModifiedBy>Michael Topham</cp:lastModifiedBy>
  <cp:revision>1</cp:revision>
  <dcterms:created xsi:type="dcterms:W3CDTF">2009-07-15T14:09:00Z</dcterms:created>
  <dcterms:modified xsi:type="dcterms:W3CDTF">2009-07-15T14:20:00Z</dcterms:modified>
</cp:coreProperties>
</file>